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425"/>
        <w:gridCol w:w="2155"/>
        <w:gridCol w:w="1077"/>
        <w:gridCol w:w="4990"/>
      </w:tblGrid>
      <w:tr w:rsidR="00F57E2F">
        <w:trPr>
          <w:cantSplit/>
          <w:trHeight w:hRule="exact" w:val="1021"/>
        </w:trPr>
        <w:tc>
          <w:tcPr>
            <w:tcW w:w="4140" w:type="dxa"/>
            <w:gridSpan w:val="4"/>
          </w:tcPr>
          <w:p w:rsidR="00F57E2F" w:rsidRDefault="00F57E2F">
            <w:pPr>
              <w:jc w:val="center"/>
            </w:pPr>
            <w:bookmarkStart w:id="0" w:name="_GoBack"/>
            <w:bookmarkEnd w:id="0"/>
          </w:p>
        </w:tc>
        <w:tc>
          <w:tcPr>
            <w:tcW w:w="1077" w:type="dxa"/>
          </w:tcPr>
          <w:p w:rsidR="00FD226E" w:rsidRDefault="00FD226E" w:rsidP="00A203F8"/>
        </w:tc>
        <w:tc>
          <w:tcPr>
            <w:tcW w:w="4990" w:type="dxa"/>
          </w:tcPr>
          <w:p w:rsidR="00F57E2F" w:rsidRDefault="00F57E2F"/>
        </w:tc>
      </w:tr>
      <w:tr w:rsidR="00F57E2F">
        <w:tblPrEx>
          <w:tblCellMar>
            <w:left w:w="89" w:type="dxa"/>
            <w:right w:w="89" w:type="dxa"/>
          </w:tblCellMar>
        </w:tblPrEx>
        <w:trPr>
          <w:cantSplit/>
          <w:trHeight w:hRule="exact" w:val="2098"/>
        </w:trPr>
        <w:tc>
          <w:tcPr>
            <w:tcW w:w="4140" w:type="dxa"/>
            <w:gridSpan w:val="4"/>
          </w:tcPr>
          <w:p w:rsidR="006D344D" w:rsidRPr="00A23FE8" w:rsidRDefault="006D344D" w:rsidP="00172A87">
            <w:pPr>
              <w:pStyle w:val="4"/>
              <w:spacing w:before="120"/>
              <w:rPr>
                <w:sz w:val="20"/>
              </w:rPr>
            </w:pPr>
            <w:r w:rsidRPr="00A23FE8">
              <w:rPr>
                <w:sz w:val="20"/>
              </w:rPr>
              <w:t>МИНФИН РОССИИ</w:t>
            </w:r>
          </w:p>
          <w:p w:rsidR="00F57E2F" w:rsidRPr="00A23FE8" w:rsidRDefault="00F57E2F" w:rsidP="00172A87">
            <w:pPr>
              <w:pStyle w:val="4"/>
              <w:spacing w:before="60"/>
              <w:rPr>
                <w:sz w:val="24"/>
                <w:szCs w:val="24"/>
              </w:rPr>
            </w:pPr>
            <w:r w:rsidRPr="00A23FE8">
              <w:rPr>
                <w:sz w:val="24"/>
                <w:szCs w:val="24"/>
              </w:rPr>
              <w:t>ФЕДЕРАЛЬНАЯ</w:t>
            </w:r>
          </w:p>
          <w:p w:rsidR="00F57E2F" w:rsidRPr="00A23FE8" w:rsidRDefault="00F57E2F">
            <w:pPr>
              <w:pStyle w:val="3"/>
              <w:jc w:val="center"/>
              <w:rPr>
                <w:szCs w:val="24"/>
              </w:rPr>
            </w:pPr>
            <w:r w:rsidRPr="00A23FE8">
              <w:rPr>
                <w:szCs w:val="24"/>
              </w:rPr>
              <w:t>НАЛОГОВАЯ СЛУЖБА</w:t>
            </w:r>
          </w:p>
          <w:p w:rsidR="00E742B5" w:rsidRPr="00A23FE8" w:rsidRDefault="00E742B5" w:rsidP="00E742B5">
            <w:pPr>
              <w:jc w:val="center"/>
              <w:rPr>
                <w:b/>
                <w:bCs/>
              </w:rPr>
            </w:pPr>
            <w:r w:rsidRPr="00A23FE8">
              <w:rPr>
                <w:b/>
                <w:bCs/>
                <w:sz w:val="22"/>
              </w:rPr>
              <w:t>(ФНС России)</w:t>
            </w:r>
          </w:p>
          <w:p w:rsidR="00F57E2F" w:rsidRPr="00A23FE8" w:rsidRDefault="00225D29" w:rsidP="00E742B5">
            <w:pPr>
              <w:spacing w:before="60"/>
              <w:jc w:val="center"/>
              <w:rPr>
                <w:sz w:val="22"/>
                <w:szCs w:val="22"/>
              </w:rPr>
            </w:pPr>
            <w:r w:rsidRPr="00A23FE8">
              <w:rPr>
                <w:sz w:val="22"/>
                <w:szCs w:val="22"/>
              </w:rPr>
              <w:t>ЗАМЕСТИТЕЛЬ РУКОВОДИТЕЛЯ</w:t>
            </w:r>
          </w:p>
          <w:p w:rsidR="00F57E2F" w:rsidRPr="00A23FE8" w:rsidRDefault="00F57E2F" w:rsidP="00F5128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A23FE8">
              <w:rPr>
                <w:b/>
                <w:sz w:val="16"/>
                <w:szCs w:val="16"/>
              </w:rPr>
              <w:t>Неглинная</w:t>
            </w:r>
            <w:proofErr w:type="spellEnd"/>
            <w:r w:rsidRPr="00A23FE8">
              <w:rPr>
                <w:b/>
                <w:sz w:val="16"/>
                <w:szCs w:val="16"/>
              </w:rPr>
              <w:t>, 23, Москва, 127381</w:t>
            </w:r>
          </w:p>
          <w:p w:rsidR="00F5128F" w:rsidRPr="00A23FE8" w:rsidRDefault="00777014" w:rsidP="00F5128F">
            <w:pPr>
              <w:jc w:val="center"/>
              <w:rPr>
                <w:b/>
                <w:sz w:val="16"/>
                <w:szCs w:val="16"/>
              </w:rPr>
            </w:pPr>
            <w:r w:rsidRPr="00A23FE8">
              <w:rPr>
                <w:b/>
                <w:sz w:val="16"/>
                <w:szCs w:val="16"/>
              </w:rPr>
              <w:t>Телефон: (495) 913-00-09; Телефакс: (495) 913-00-05;</w:t>
            </w:r>
          </w:p>
          <w:p w:rsidR="00F57E2F" w:rsidRPr="00A23FE8" w:rsidRDefault="00F5128F" w:rsidP="00F5128F">
            <w:pPr>
              <w:jc w:val="center"/>
              <w:rPr>
                <w:b/>
                <w:sz w:val="16"/>
                <w:szCs w:val="16"/>
              </w:rPr>
            </w:pPr>
            <w:r w:rsidRPr="00A23FE8">
              <w:rPr>
                <w:b/>
                <w:sz w:val="16"/>
                <w:szCs w:val="16"/>
              </w:rPr>
              <w:t>www.nalog.</w:t>
            </w:r>
            <w:proofErr w:type="spellStart"/>
            <w:r w:rsidRPr="00A23FE8">
              <w:rPr>
                <w:b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077" w:type="dxa"/>
            <w:vMerge w:val="restart"/>
          </w:tcPr>
          <w:p w:rsidR="00F57E2F" w:rsidRDefault="00F57E2F">
            <w:pPr>
              <w:rPr>
                <w:sz w:val="12"/>
              </w:rPr>
            </w:pPr>
          </w:p>
        </w:tc>
        <w:tc>
          <w:tcPr>
            <w:tcW w:w="4990" w:type="dxa"/>
            <w:vMerge w:val="restart"/>
          </w:tcPr>
          <w:p w:rsidR="006127AA" w:rsidRDefault="006127AA" w:rsidP="006127AA">
            <w:pPr>
              <w:pStyle w:val="a3"/>
              <w:rPr>
                <w:szCs w:val="28"/>
              </w:rPr>
            </w:pPr>
          </w:p>
          <w:p w:rsidR="006127AA" w:rsidRDefault="006127AA" w:rsidP="006127AA">
            <w:pPr>
              <w:pStyle w:val="a3"/>
              <w:rPr>
                <w:szCs w:val="28"/>
              </w:rPr>
            </w:pPr>
          </w:p>
          <w:p w:rsidR="006127AA" w:rsidRDefault="006127AA" w:rsidP="006127AA">
            <w:pPr>
              <w:pStyle w:val="a3"/>
              <w:rPr>
                <w:szCs w:val="28"/>
              </w:rPr>
            </w:pPr>
          </w:p>
          <w:p w:rsidR="006127AA" w:rsidRPr="0087528E" w:rsidRDefault="006127AA" w:rsidP="006127AA">
            <w:pPr>
              <w:pStyle w:val="a3"/>
              <w:rPr>
                <w:szCs w:val="28"/>
              </w:rPr>
            </w:pPr>
            <w:r w:rsidRPr="0087528E">
              <w:rPr>
                <w:szCs w:val="28"/>
              </w:rPr>
              <w:t>Управления Федеральной налоговой службы по субъектам Российской Федерации</w:t>
            </w:r>
          </w:p>
          <w:p w:rsidR="00F57E2F" w:rsidRDefault="00F57E2F">
            <w:pPr>
              <w:pStyle w:val="a3"/>
            </w:pPr>
          </w:p>
        </w:tc>
      </w:tr>
      <w:tr w:rsidR="00F57E2F" w:rsidTr="00A23FE8">
        <w:tblPrEx>
          <w:tblCellMar>
            <w:left w:w="107" w:type="dxa"/>
            <w:right w:w="107" w:type="dxa"/>
          </w:tblCellMar>
        </w:tblPrEx>
        <w:trPr>
          <w:cantSplit/>
          <w:trHeight w:hRule="exact" w:val="397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vAlign w:val="bottom"/>
          </w:tcPr>
          <w:p w:rsidR="00F57E2F" w:rsidRPr="00F26A0A" w:rsidRDefault="00147DEA">
            <w:pPr>
              <w:rPr>
                <w:szCs w:val="26"/>
              </w:rPr>
            </w:pPr>
            <w:r w:rsidRPr="00F26A0A">
              <w:rPr>
                <w:szCs w:val="26"/>
              </w:rPr>
              <w:t>06.08.2018</w:t>
            </w:r>
          </w:p>
        </w:tc>
        <w:tc>
          <w:tcPr>
            <w:tcW w:w="425" w:type="dxa"/>
            <w:vAlign w:val="bottom"/>
          </w:tcPr>
          <w:p w:rsidR="00F57E2F" w:rsidRPr="00F26A0A" w:rsidRDefault="00F57E2F">
            <w:pPr>
              <w:rPr>
                <w:szCs w:val="26"/>
              </w:rPr>
            </w:pPr>
            <w:r w:rsidRPr="00F26A0A">
              <w:rPr>
                <w:szCs w:val="26"/>
              </w:rPr>
              <w:t>№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bottom"/>
          </w:tcPr>
          <w:p w:rsidR="00F57E2F" w:rsidRPr="00F26A0A" w:rsidRDefault="00147DEA" w:rsidP="00F26A0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F26A0A">
              <w:rPr>
                <w:snapToGrid/>
                <w:color w:val="000000"/>
                <w:szCs w:val="26"/>
              </w:rPr>
              <w:t>ЕД-4-20/15240@</w:t>
            </w:r>
          </w:p>
        </w:tc>
        <w:tc>
          <w:tcPr>
            <w:tcW w:w="1077" w:type="dxa"/>
            <w:vMerge/>
          </w:tcPr>
          <w:p w:rsidR="00F57E2F" w:rsidRDefault="00F57E2F">
            <w:pPr>
              <w:rPr>
                <w:sz w:val="20"/>
              </w:rPr>
            </w:pPr>
          </w:p>
        </w:tc>
        <w:tc>
          <w:tcPr>
            <w:tcW w:w="4990" w:type="dxa"/>
            <w:vMerge/>
          </w:tcPr>
          <w:p w:rsidR="00F57E2F" w:rsidRDefault="00F57E2F">
            <w:pPr>
              <w:rPr>
                <w:sz w:val="20"/>
              </w:rPr>
            </w:pPr>
          </w:p>
        </w:tc>
      </w:tr>
      <w:tr w:rsidR="00DC2A6F" w:rsidTr="00A23FE8">
        <w:trPr>
          <w:cantSplit/>
          <w:trHeight w:hRule="exact" w:val="227"/>
        </w:trPr>
        <w:tc>
          <w:tcPr>
            <w:tcW w:w="1560" w:type="dxa"/>
            <w:gridSpan w:val="2"/>
            <w:tcBorders>
              <w:top w:val="single" w:sz="4" w:space="0" w:color="auto"/>
            </w:tcBorders>
            <w:vAlign w:val="bottom"/>
          </w:tcPr>
          <w:p w:rsidR="00DC2A6F" w:rsidRPr="00A23FE8" w:rsidRDefault="00DC2A6F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vAlign w:val="bottom"/>
          </w:tcPr>
          <w:p w:rsidR="00DC2A6F" w:rsidRPr="00A23FE8" w:rsidRDefault="00DC2A6F">
            <w:pPr>
              <w:jc w:val="center"/>
              <w:rPr>
                <w:sz w:val="16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  <w:vAlign w:val="bottom"/>
          </w:tcPr>
          <w:p w:rsidR="00DC2A6F" w:rsidRPr="00A23FE8" w:rsidRDefault="00DC2A6F">
            <w:pPr>
              <w:jc w:val="center"/>
              <w:rPr>
                <w:sz w:val="16"/>
              </w:rPr>
            </w:pPr>
          </w:p>
        </w:tc>
        <w:tc>
          <w:tcPr>
            <w:tcW w:w="1077" w:type="dxa"/>
            <w:vMerge/>
          </w:tcPr>
          <w:p w:rsidR="00DC2A6F" w:rsidRDefault="00DC2A6F">
            <w:pPr>
              <w:rPr>
                <w:sz w:val="16"/>
              </w:rPr>
            </w:pPr>
          </w:p>
        </w:tc>
        <w:tc>
          <w:tcPr>
            <w:tcW w:w="4990" w:type="dxa"/>
            <w:vMerge/>
          </w:tcPr>
          <w:p w:rsidR="00DC2A6F" w:rsidRDefault="00DC2A6F">
            <w:pPr>
              <w:rPr>
                <w:sz w:val="16"/>
              </w:rPr>
            </w:pPr>
          </w:p>
        </w:tc>
      </w:tr>
      <w:tr w:rsidR="00F57E2F" w:rsidTr="00A23FE8">
        <w:tblPrEx>
          <w:tblCellMar>
            <w:left w:w="107" w:type="dxa"/>
            <w:right w:w="107" w:type="dxa"/>
          </w:tblCellMar>
        </w:tblPrEx>
        <w:trPr>
          <w:cantSplit/>
          <w:trHeight w:hRule="exact" w:val="397"/>
        </w:trPr>
        <w:tc>
          <w:tcPr>
            <w:tcW w:w="851" w:type="dxa"/>
            <w:vAlign w:val="bottom"/>
          </w:tcPr>
          <w:p w:rsidR="00F57E2F" w:rsidRPr="00A23FE8" w:rsidRDefault="00F57E2F">
            <w:pPr>
              <w:rPr>
                <w:sz w:val="24"/>
                <w:szCs w:val="24"/>
              </w:rPr>
            </w:pPr>
            <w:r w:rsidRPr="00A23FE8">
              <w:rPr>
                <w:sz w:val="24"/>
                <w:szCs w:val="24"/>
              </w:rPr>
              <w:t>На №</w:t>
            </w:r>
          </w:p>
        </w:tc>
        <w:tc>
          <w:tcPr>
            <w:tcW w:w="3289" w:type="dxa"/>
            <w:gridSpan w:val="3"/>
            <w:tcBorders>
              <w:bottom w:val="single" w:sz="4" w:space="0" w:color="auto"/>
            </w:tcBorders>
            <w:vAlign w:val="bottom"/>
          </w:tcPr>
          <w:p w:rsidR="00F57E2F" w:rsidRPr="00A23FE8" w:rsidRDefault="00F57E2F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F57E2F" w:rsidRDefault="00F57E2F">
            <w:pPr>
              <w:rPr>
                <w:sz w:val="20"/>
              </w:rPr>
            </w:pPr>
          </w:p>
        </w:tc>
        <w:tc>
          <w:tcPr>
            <w:tcW w:w="4990" w:type="dxa"/>
            <w:vMerge/>
          </w:tcPr>
          <w:p w:rsidR="00F57E2F" w:rsidRDefault="00F57E2F">
            <w:pPr>
              <w:rPr>
                <w:sz w:val="20"/>
              </w:rPr>
            </w:pPr>
          </w:p>
        </w:tc>
      </w:tr>
      <w:tr w:rsidR="00DC2A6F" w:rsidTr="00A23FE8">
        <w:trPr>
          <w:cantSplit/>
          <w:trHeight w:hRule="exact" w:val="227"/>
        </w:trPr>
        <w:tc>
          <w:tcPr>
            <w:tcW w:w="851" w:type="dxa"/>
          </w:tcPr>
          <w:p w:rsidR="00DC2A6F" w:rsidRPr="00A23FE8" w:rsidRDefault="00DC2A6F">
            <w:pPr>
              <w:jc w:val="center"/>
              <w:rPr>
                <w:b/>
                <w:sz w:val="8"/>
              </w:rPr>
            </w:pPr>
          </w:p>
        </w:tc>
        <w:tc>
          <w:tcPr>
            <w:tcW w:w="3289" w:type="dxa"/>
            <w:gridSpan w:val="3"/>
            <w:tcBorders>
              <w:top w:val="single" w:sz="4" w:space="0" w:color="auto"/>
            </w:tcBorders>
          </w:tcPr>
          <w:p w:rsidR="00DC2A6F" w:rsidRPr="00A23FE8" w:rsidRDefault="00DC2A6F">
            <w:pPr>
              <w:jc w:val="center"/>
              <w:rPr>
                <w:b/>
                <w:sz w:val="8"/>
              </w:rPr>
            </w:pPr>
          </w:p>
        </w:tc>
        <w:tc>
          <w:tcPr>
            <w:tcW w:w="1077" w:type="dxa"/>
            <w:vMerge/>
          </w:tcPr>
          <w:p w:rsidR="00DC2A6F" w:rsidRDefault="00DC2A6F">
            <w:pPr>
              <w:rPr>
                <w:sz w:val="8"/>
              </w:rPr>
            </w:pPr>
          </w:p>
        </w:tc>
        <w:tc>
          <w:tcPr>
            <w:tcW w:w="4990" w:type="dxa"/>
            <w:vMerge/>
          </w:tcPr>
          <w:p w:rsidR="00DC2A6F" w:rsidRDefault="00DC2A6F">
            <w:pPr>
              <w:rPr>
                <w:sz w:val="8"/>
              </w:rPr>
            </w:pPr>
          </w:p>
        </w:tc>
      </w:tr>
      <w:tr w:rsidR="00F57E2F">
        <w:tblPrEx>
          <w:tblCellMar>
            <w:left w:w="38" w:type="dxa"/>
            <w:right w:w="38" w:type="dxa"/>
          </w:tblCellMar>
        </w:tblPrEx>
        <w:trPr>
          <w:cantSplit/>
          <w:trHeight w:hRule="exact" w:val="1021"/>
        </w:trPr>
        <w:tc>
          <w:tcPr>
            <w:tcW w:w="4140" w:type="dxa"/>
            <w:gridSpan w:val="4"/>
          </w:tcPr>
          <w:p w:rsidR="006127AA" w:rsidRDefault="006127AA" w:rsidP="006127AA">
            <w:pPr>
              <w:autoSpaceDE w:val="0"/>
              <w:autoSpaceDN w:val="0"/>
              <w:adjustRightInd w:val="0"/>
              <w:jc w:val="both"/>
              <w:rPr>
                <w:snapToGrid/>
                <w:sz w:val="20"/>
              </w:rPr>
            </w:pPr>
            <w:r>
              <w:rPr>
                <w:sz w:val="20"/>
              </w:rPr>
              <w:t>Об особенностях формир</w:t>
            </w:r>
            <w:r w:rsidR="003928F1">
              <w:rPr>
                <w:sz w:val="20"/>
              </w:rPr>
              <w:t>ования кассового чека коррекции</w:t>
            </w:r>
          </w:p>
          <w:p w:rsidR="00F57E2F" w:rsidRPr="00A23FE8" w:rsidRDefault="00F57E2F" w:rsidP="006529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F57E2F" w:rsidRDefault="00F57E2F">
            <w:pPr>
              <w:rPr>
                <w:sz w:val="12"/>
              </w:rPr>
            </w:pPr>
          </w:p>
        </w:tc>
        <w:tc>
          <w:tcPr>
            <w:tcW w:w="4990" w:type="dxa"/>
            <w:vMerge/>
          </w:tcPr>
          <w:p w:rsidR="00F57E2F" w:rsidRDefault="00F57E2F">
            <w:pPr>
              <w:rPr>
                <w:sz w:val="12"/>
              </w:rPr>
            </w:pPr>
          </w:p>
        </w:tc>
      </w:tr>
    </w:tbl>
    <w:p w:rsidR="006127AA" w:rsidRDefault="006127AA" w:rsidP="003928F1">
      <w:pPr>
        <w:jc w:val="both"/>
        <w:rPr>
          <w:sz w:val="28"/>
          <w:szCs w:val="28"/>
        </w:rPr>
      </w:pPr>
    </w:p>
    <w:p w:rsidR="006127AA" w:rsidRDefault="006127AA" w:rsidP="006127AA">
      <w:pPr>
        <w:tabs>
          <w:tab w:val="left" w:pos="1139"/>
        </w:tabs>
        <w:ind w:firstLine="709"/>
        <w:contextualSpacing/>
        <w:jc w:val="both"/>
        <w:rPr>
          <w:sz w:val="28"/>
          <w:szCs w:val="28"/>
        </w:rPr>
      </w:pPr>
      <w:r w:rsidRPr="00CF021C">
        <w:rPr>
          <w:sz w:val="28"/>
          <w:szCs w:val="28"/>
        </w:rPr>
        <w:t xml:space="preserve">Федеральная налоговая служба в целях систематизации и методологического обеспечения работы налоговых органов </w:t>
      </w:r>
      <w:r>
        <w:rPr>
          <w:sz w:val="28"/>
          <w:szCs w:val="28"/>
        </w:rPr>
        <w:t>в части осуществления контроля за соблюдением требований законодательства Российской Федерации о применении</w:t>
      </w:r>
      <w:r w:rsidRPr="00CF021C">
        <w:rPr>
          <w:sz w:val="28"/>
          <w:szCs w:val="28"/>
        </w:rPr>
        <w:t xml:space="preserve"> контрольно-кассовой техник</w:t>
      </w:r>
      <w:r>
        <w:rPr>
          <w:sz w:val="28"/>
          <w:szCs w:val="28"/>
        </w:rPr>
        <w:t>и сообщает следующее.</w:t>
      </w:r>
    </w:p>
    <w:p w:rsidR="006127AA" w:rsidRPr="00D243FB" w:rsidRDefault="006127AA" w:rsidP="006127AA">
      <w:pPr>
        <w:tabs>
          <w:tab w:val="left" w:pos="113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абзацем вторым пункта 4 статьи 4</w:t>
      </w:r>
      <w:r w:rsidR="00FE066C">
        <w:rPr>
          <w:sz w:val="28"/>
          <w:szCs w:val="28"/>
          <w:vertAlign w:val="superscript"/>
        </w:rPr>
        <w:t>3</w:t>
      </w:r>
      <w:r w:rsidR="00FE06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от 22.05.2003 № 54-ФЗ «О применении контрольно-кассовой техники при осуществлении расчетов в Российской Федерации» </w:t>
      </w:r>
      <w:r>
        <w:rPr>
          <w:snapToGrid/>
          <w:sz w:val="28"/>
          <w:szCs w:val="28"/>
        </w:rPr>
        <w:t>кассовый чек коррекции формируется пользователем в целях исполнения обязанности по применению контрольно-кассовой техники (далее – ККТ) в случае осуществления ранее таким пользователем расчета без применения ККТ либо в случае применения ККТ с нарушением требований законодательства Российской Федерации о применении контрольно-кассовой техники.</w:t>
      </w:r>
    </w:p>
    <w:p w:rsidR="006127AA" w:rsidRDefault="006127AA" w:rsidP="006127AA">
      <w:pPr>
        <w:tabs>
          <w:tab w:val="left" w:pos="1139"/>
        </w:tabs>
        <w:ind w:firstLine="709"/>
        <w:contextualSpacing/>
        <w:jc w:val="both"/>
        <w:rPr>
          <w:snapToGrid/>
          <w:sz w:val="28"/>
          <w:szCs w:val="28"/>
        </w:rPr>
      </w:pPr>
      <w:r>
        <w:rPr>
          <w:sz w:val="28"/>
          <w:szCs w:val="28"/>
        </w:rPr>
        <w:t xml:space="preserve">При этом законодательство Российской Федерации не устанавливает обязанность пользователя осуществлять корректировку расчетов с использованием </w:t>
      </w:r>
      <w:r w:rsidRPr="009E27C4">
        <w:rPr>
          <w:snapToGrid/>
          <w:sz w:val="28"/>
          <w:szCs w:val="28"/>
        </w:rPr>
        <w:t xml:space="preserve">той единицы </w:t>
      </w:r>
      <w:r>
        <w:rPr>
          <w:snapToGrid/>
          <w:sz w:val="28"/>
          <w:szCs w:val="28"/>
        </w:rPr>
        <w:t>ККТ</w:t>
      </w:r>
      <w:r w:rsidRPr="009E27C4">
        <w:rPr>
          <w:snapToGrid/>
          <w:sz w:val="28"/>
          <w:szCs w:val="28"/>
        </w:rPr>
        <w:t>, которая ранее не была применена либо при применении которой был совершен некорректный расчет.</w:t>
      </w:r>
    </w:p>
    <w:p w:rsidR="006127AA" w:rsidRPr="00EC50D2" w:rsidRDefault="006127AA" w:rsidP="006127AA">
      <w:pPr>
        <w:tabs>
          <w:tab w:val="left" w:pos="1139"/>
        </w:tabs>
        <w:ind w:firstLine="709"/>
        <w:contextualSpacing/>
        <w:jc w:val="both"/>
        <w:rPr>
          <w:snapToGrid/>
          <w:sz w:val="28"/>
          <w:szCs w:val="28"/>
        </w:rPr>
      </w:pPr>
      <w:r w:rsidRPr="009E27C4">
        <w:rPr>
          <w:snapToGrid/>
          <w:sz w:val="28"/>
          <w:szCs w:val="28"/>
        </w:rPr>
        <w:t xml:space="preserve">Согласно примечанию к статье 14.5 Кодекса Российской Федерации об административных правонарушениях </w:t>
      </w:r>
      <w:r w:rsidRPr="00EC50D2">
        <w:rPr>
          <w:snapToGrid/>
          <w:sz w:val="28"/>
          <w:szCs w:val="28"/>
        </w:rPr>
        <w:t xml:space="preserve">лицо, добровольно заявившее в налоговый орган в письменной форме о неприменении им ККТ в случаях, установленных законодательством Российской Федерации о применении контрольно-кассовой техники, либо о применении им ККТ, которая не соответствует установленным требованиям, либо о применении им контрольно-кассовой техники с нарушением установленных законодательством Российской Федерации о применении контрольно-кассовой техники порядка регистрации ККТ, порядка, сроков и условий перерегистрации ККТ и порядка ее применения и добровольно исполнившее до вынесения постановления по делу об административном правонарушении обязанность, за неисполнение или ненадлежащее исполнение которой лицо привлекается к административной ответственности, освобождается от административной ответственности за административное правонарушение, </w:t>
      </w:r>
      <w:r w:rsidRPr="00EC50D2">
        <w:rPr>
          <w:snapToGrid/>
          <w:sz w:val="28"/>
          <w:szCs w:val="28"/>
        </w:rPr>
        <w:lastRenderedPageBreak/>
        <w:t xml:space="preserve">предусмотренное </w:t>
      </w:r>
      <w:hyperlink r:id="rId8" w:history="1">
        <w:r w:rsidRPr="00EC50D2">
          <w:rPr>
            <w:snapToGrid/>
            <w:sz w:val="28"/>
            <w:szCs w:val="28"/>
          </w:rPr>
          <w:t>частями 2</w:t>
        </w:r>
      </w:hyperlink>
      <w:r w:rsidRPr="00EC50D2">
        <w:rPr>
          <w:snapToGrid/>
          <w:sz w:val="28"/>
          <w:szCs w:val="28"/>
        </w:rPr>
        <w:t xml:space="preserve">, </w:t>
      </w:r>
      <w:hyperlink r:id="rId9" w:history="1">
        <w:r w:rsidRPr="00EC50D2">
          <w:rPr>
            <w:snapToGrid/>
            <w:sz w:val="28"/>
            <w:szCs w:val="28"/>
          </w:rPr>
          <w:t>4</w:t>
        </w:r>
      </w:hyperlink>
      <w:r w:rsidRPr="00EC50D2">
        <w:rPr>
          <w:snapToGrid/>
          <w:sz w:val="28"/>
          <w:szCs w:val="28"/>
        </w:rPr>
        <w:t xml:space="preserve"> и </w:t>
      </w:r>
      <w:hyperlink r:id="rId10" w:history="1">
        <w:r w:rsidRPr="00EC50D2">
          <w:rPr>
            <w:snapToGrid/>
            <w:sz w:val="28"/>
            <w:szCs w:val="28"/>
          </w:rPr>
          <w:t>6</w:t>
        </w:r>
      </w:hyperlink>
      <w:r w:rsidRPr="00EC50D2">
        <w:rPr>
          <w:snapToGrid/>
          <w:sz w:val="28"/>
          <w:szCs w:val="28"/>
        </w:rPr>
        <w:t xml:space="preserve"> статьи</w:t>
      </w:r>
      <w:r>
        <w:rPr>
          <w:snapToGrid/>
          <w:sz w:val="28"/>
          <w:szCs w:val="28"/>
        </w:rPr>
        <w:t xml:space="preserve"> 14.5 КоАП РФ</w:t>
      </w:r>
      <w:r w:rsidRPr="00EC50D2">
        <w:rPr>
          <w:snapToGrid/>
          <w:sz w:val="28"/>
          <w:szCs w:val="28"/>
        </w:rPr>
        <w:t>, если соблюдены в совокупности следующие условия:</w:t>
      </w:r>
    </w:p>
    <w:p w:rsidR="006127AA" w:rsidRPr="00EC50D2" w:rsidRDefault="006127AA" w:rsidP="006127AA">
      <w:pPr>
        <w:tabs>
          <w:tab w:val="left" w:pos="1139"/>
        </w:tabs>
        <w:ind w:firstLine="709"/>
        <w:contextualSpacing/>
        <w:jc w:val="both"/>
        <w:rPr>
          <w:snapToGrid/>
          <w:sz w:val="28"/>
          <w:szCs w:val="28"/>
        </w:rPr>
      </w:pPr>
      <w:r w:rsidRPr="00EC50D2">
        <w:rPr>
          <w:snapToGrid/>
          <w:sz w:val="28"/>
          <w:szCs w:val="28"/>
        </w:rPr>
        <w:t>на момент обращения лица с заявлением налоговый орган не располагал соответствующими сведениями и документами о совершенном административном правонарушении;</w:t>
      </w:r>
    </w:p>
    <w:p w:rsidR="006127AA" w:rsidRPr="009E27C4" w:rsidRDefault="006127AA" w:rsidP="006127AA">
      <w:pPr>
        <w:tabs>
          <w:tab w:val="left" w:pos="1139"/>
        </w:tabs>
        <w:ind w:firstLine="709"/>
        <w:contextualSpacing/>
        <w:jc w:val="both"/>
        <w:rPr>
          <w:snapToGrid/>
          <w:sz w:val="28"/>
          <w:szCs w:val="28"/>
        </w:rPr>
      </w:pPr>
      <w:r w:rsidRPr="00EC50D2">
        <w:rPr>
          <w:snapToGrid/>
          <w:sz w:val="28"/>
          <w:szCs w:val="28"/>
        </w:rPr>
        <w:t>представленные сведения и документы являются достаточными для установления события административного правонарушения.</w:t>
      </w:r>
    </w:p>
    <w:p w:rsidR="0031701E" w:rsidRDefault="006127AA" w:rsidP="0031701E">
      <w:pPr>
        <w:tabs>
          <w:tab w:val="left" w:pos="113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Учитывая изложенное, пользователю при формировании кассового чека коррекции в целях освобождения от административной ответственности необходимо обеспечить достаточность сведений в таком кассовом чеке коррекции, позволяющих точно идентифицировать конкретный расчет, в отношении которого применяется корректировка, например, в форме указания фискального признака документа, ранее некорректно</w:t>
      </w:r>
      <w:r w:rsidR="0076678B" w:rsidRPr="0076678B">
        <w:rPr>
          <w:sz w:val="28"/>
          <w:szCs w:val="28"/>
        </w:rPr>
        <w:t xml:space="preserve"> </w:t>
      </w:r>
      <w:r w:rsidR="0076678B">
        <w:rPr>
          <w:sz w:val="28"/>
          <w:szCs w:val="28"/>
        </w:rPr>
        <w:t>сформированного с применением ККТ (в том числе</w:t>
      </w:r>
      <w:r w:rsidR="0076678B" w:rsidRPr="0076678B">
        <w:rPr>
          <w:sz w:val="28"/>
          <w:szCs w:val="28"/>
        </w:rPr>
        <w:t xml:space="preserve"> </w:t>
      </w:r>
      <w:r w:rsidR="0076678B" w:rsidRPr="005C61FF">
        <w:rPr>
          <w:sz w:val="28"/>
          <w:szCs w:val="28"/>
        </w:rPr>
        <w:t>с применением иной единицы ККТ</w:t>
      </w:r>
      <w:r w:rsidR="0076678B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31701E" w:rsidRPr="00CA05A4" w:rsidRDefault="0031701E" w:rsidP="0031701E">
      <w:pPr>
        <w:tabs>
          <w:tab w:val="left" w:pos="113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Вышеуказанный фискальный признак документа, а также иные реквизиты указыва</w:t>
      </w:r>
      <w:r w:rsidR="00CA05A4">
        <w:rPr>
          <w:sz w:val="28"/>
          <w:szCs w:val="28"/>
        </w:rPr>
        <w:t>ются</w:t>
      </w:r>
      <w:r>
        <w:rPr>
          <w:sz w:val="28"/>
          <w:szCs w:val="28"/>
        </w:rPr>
        <w:t xml:space="preserve"> в кассовом чеке коррекции согласно Методическим указаниям </w:t>
      </w:r>
      <w:r>
        <w:rPr>
          <w:snapToGrid/>
          <w:sz w:val="28"/>
          <w:szCs w:val="28"/>
        </w:rPr>
        <w:t>по формированию фискальных документов при осуществлении отдельных видов расчетов</w:t>
      </w:r>
      <w:r w:rsidR="00CA05A4">
        <w:rPr>
          <w:snapToGrid/>
          <w:sz w:val="28"/>
          <w:szCs w:val="28"/>
        </w:rPr>
        <w:t xml:space="preserve">, которые размещаются на сайте </w:t>
      </w:r>
      <w:r w:rsidR="00CA05A4">
        <w:rPr>
          <w:snapToGrid/>
          <w:sz w:val="28"/>
          <w:szCs w:val="28"/>
          <w:lang w:val="en-US"/>
        </w:rPr>
        <w:t>https</w:t>
      </w:r>
      <w:r w:rsidR="00CA05A4" w:rsidRPr="00CA05A4">
        <w:rPr>
          <w:snapToGrid/>
          <w:sz w:val="28"/>
          <w:szCs w:val="28"/>
        </w:rPr>
        <w:t>://</w:t>
      </w:r>
      <w:proofErr w:type="spellStart"/>
      <w:r w:rsidR="00CA05A4">
        <w:rPr>
          <w:snapToGrid/>
          <w:sz w:val="28"/>
          <w:szCs w:val="28"/>
          <w:lang w:val="en-US"/>
        </w:rPr>
        <w:t>kkt</w:t>
      </w:r>
      <w:proofErr w:type="spellEnd"/>
      <w:r w:rsidR="00CA05A4" w:rsidRPr="00CA05A4">
        <w:rPr>
          <w:snapToGrid/>
          <w:sz w:val="28"/>
          <w:szCs w:val="28"/>
        </w:rPr>
        <w:t>-</w:t>
      </w:r>
      <w:r w:rsidR="00CA05A4">
        <w:rPr>
          <w:snapToGrid/>
          <w:sz w:val="28"/>
          <w:szCs w:val="28"/>
          <w:lang w:val="en-US"/>
        </w:rPr>
        <w:t>online</w:t>
      </w:r>
      <w:r w:rsidR="00CA05A4" w:rsidRPr="00CA05A4">
        <w:rPr>
          <w:snapToGrid/>
          <w:sz w:val="28"/>
          <w:szCs w:val="28"/>
        </w:rPr>
        <w:t>.</w:t>
      </w:r>
      <w:proofErr w:type="spellStart"/>
      <w:r w:rsidR="00CA05A4">
        <w:rPr>
          <w:snapToGrid/>
          <w:sz w:val="28"/>
          <w:szCs w:val="28"/>
          <w:lang w:val="en-US"/>
        </w:rPr>
        <w:t>nalog</w:t>
      </w:r>
      <w:proofErr w:type="spellEnd"/>
      <w:r w:rsidR="00CA05A4" w:rsidRPr="00CA05A4">
        <w:rPr>
          <w:snapToGrid/>
          <w:sz w:val="28"/>
          <w:szCs w:val="28"/>
        </w:rPr>
        <w:t>.</w:t>
      </w:r>
      <w:proofErr w:type="spellStart"/>
      <w:r w:rsidR="00CA05A4">
        <w:rPr>
          <w:snapToGrid/>
          <w:sz w:val="28"/>
          <w:szCs w:val="28"/>
          <w:lang w:val="en-US"/>
        </w:rPr>
        <w:t>ru</w:t>
      </w:r>
      <w:proofErr w:type="spellEnd"/>
      <w:r w:rsidR="00CA05A4" w:rsidRPr="00CA05A4">
        <w:rPr>
          <w:snapToGrid/>
          <w:sz w:val="28"/>
          <w:szCs w:val="28"/>
        </w:rPr>
        <w:t>.</w:t>
      </w:r>
    </w:p>
    <w:p w:rsidR="0076678B" w:rsidRDefault="0076678B" w:rsidP="0076678B">
      <w:pPr>
        <w:tabs>
          <w:tab w:val="left" w:pos="113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формирования кассового чека коррекции в отношении расчета, ранее произведенного без применения ККТ, такой фискальный документ</w:t>
      </w:r>
      <w:r w:rsidR="00FF60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содержать </w:t>
      </w:r>
      <w:r w:rsidR="00FF60A5">
        <w:rPr>
          <w:sz w:val="28"/>
          <w:szCs w:val="28"/>
        </w:rPr>
        <w:t xml:space="preserve">(помимо обязательных реквизитов самого кассового чека коррекции) </w:t>
      </w:r>
      <w:r>
        <w:rPr>
          <w:sz w:val="28"/>
          <w:szCs w:val="28"/>
        </w:rPr>
        <w:t>реквизиты, соответствующие расчету, который был произведен без применения ККТ</w:t>
      </w:r>
      <w:r w:rsidR="00FF60A5">
        <w:rPr>
          <w:sz w:val="28"/>
          <w:szCs w:val="28"/>
        </w:rPr>
        <w:t xml:space="preserve"> (дата, наименование товара, работы, услуги, ад</w:t>
      </w:r>
      <w:r w:rsidR="00845E09">
        <w:rPr>
          <w:sz w:val="28"/>
          <w:szCs w:val="28"/>
        </w:rPr>
        <w:t xml:space="preserve">рес расчета и другие реквизиты в соответствии с </w:t>
      </w:r>
      <w:r w:rsidR="00FF60A5">
        <w:rPr>
          <w:sz w:val="28"/>
          <w:szCs w:val="28"/>
        </w:rPr>
        <w:t xml:space="preserve">приказом </w:t>
      </w:r>
      <w:r w:rsidR="00FF60A5" w:rsidRPr="00AE57B8">
        <w:rPr>
          <w:sz w:val="28"/>
          <w:szCs w:val="28"/>
        </w:rPr>
        <w:t xml:space="preserve">ФНС России от </w:t>
      </w:r>
      <w:r w:rsidR="002C29D9">
        <w:rPr>
          <w:sz w:val="28"/>
          <w:szCs w:val="28"/>
        </w:rPr>
        <w:t>09.04.2018</w:t>
      </w:r>
      <w:r w:rsidR="00FF60A5" w:rsidRPr="00AE57B8">
        <w:rPr>
          <w:sz w:val="28"/>
          <w:szCs w:val="28"/>
        </w:rPr>
        <w:t xml:space="preserve"> № ММВ-7-20/</w:t>
      </w:r>
      <w:r w:rsidR="002C29D9">
        <w:rPr>
          <w:sz w:val="28"/>
          <w:szCs w:val="28"/>
        </w:rPr>
        <w:t>207</w:t>
      </w:r>
      <w:r w:rsidR="00FF60A5" w:rsidRPr="00AE57B8">
        <w:rPr>
          <w:sz w:val="28"/>
          <w:szCs w:val="28"/>
        </w:rPr>
        <w:t>@</w:t>
      </w:r>
      <w:r w:rsidR="00FF60A5">
        <w:rPr>
          <w:sz w:val="28"/>
          <w:szCs w:val="28"/>
        </w:rPr>
        <w:t xml:space="preserve"> </w:t>
      </w:r>
      <w:r w:rsidR="00FF60A5" w:rsidRPr="00AE57B8">
        <w:rPr>
          <w:sz w:val="28"/>
          <w:szCs w:val="28"/>
        </w:rPr>
        <w:t>«</w:t>
      </w:r>
      <w:r w:rsidR="002C29D9" w:rsidRPr="002C29D9">
        <w:rPr>
          <w:sz w:val="28"/>
          <w:szCs w:val="28"/>
        </w:rPr>
        <w:t>О внесении изменений в приложение N 2 к приказу Федеральной налоговой служб</w:t>
      </w:r>
      <w:r w:rsidR="002C29D9">
        <w:rPr>
          <w:sz w:val="28"/>
          <w:szCs w:val="28"/>
        </w:rPr>
        <w:t>ы от 21.03.2017 N ММВ-7-20/229@</w:t>
      </w:r>
      <w:r w:rsidR="00FF60A5" w:rsidRPr="00AE57B8">
        <w:rPr>
          <w:sz w:val="28"/>
          <w:szCs w:val="28"/>
        </w:rPr>
        <w:t>»</w:t>
      </w:r>
      <w:r w:rsidR="00FF60A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81A78" w:rsidRDefault="00AE57B8" w:rsidP="00AE57B8">
      <w:pPr>
        <w:tabs>
          <w:tab w:val="left" w:pos="113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Обращается внимание, что </w:t>
      </w:r>
      <w:r w:rsidR="00F81A78">
        <w:rPr>
          <w:sz w:val="28"/>
          <w:szCs w:val="28"/>
        </w:rPr>
        <w:t xml:space="preserve">вышеуказанная схема применения кассового чека коррекции допустима при использовании пользователем форматов фискальных документов версии 1.1. </w:t>
      </w:r>
    </w:p>
    <w:p w:rsidR="00D60626" w:rsidRDefault="00F81A78" w:rsidP="00AE57B8">
      <w:pPr>
        <w:tabs>
          <w:tab w:val="left" w:pos="113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использовании форматов фискальных документов версии 1.05 </w:t>
      </w:r>
      <w:r w:rsidRPr="00F81A78">
        <w:rPr>
          <w:sz w:val="28"/>
          <w:szCs w:val="28"/>
        </w:rPr>
        <w:t xml:space="preserve">для исправления ошибки в виде некорректно </w:t>
      </w:r>
      <w:r w:rsidR="00845E09">
        <w:rPr>
          <w:sz w:val="28"/>
          <w:szCs w:val="28"/>
        </w:rPr>
        <w:t>сформированного</w:t>
      </w:r>
      <w:r w:rsidRPr="00F81A78">
        <w:rPr>
          <w:sz w:val="28"/>
          <w:szCs w:val="28"/>
        </w:rPr>
        <w:t xml:space="preserve"> кассового чека </w:t>
      </w:r>
      <w:r w:rsidR="003C485A">
        <w:rPr>
          <w:sz w:val="28"/>
          <w:szCs w:val="28"/>
        </w:rPr>
        <w:t xml:space="preserve">кассовый чек коррекции не применяется, в связи с чем </w:t>
      </w:r>
      <w:r w:rsidRPr="00F81A78">
        <w:rPr>
          <w:sz w:val="28"/>
          <w:szCs w:val="28"/>
        </w:rPr>
        <w:t>пользователю</w:t>
      </w:r>
      <w:r w:rsidR="00E07CF8">
        <w:rPr>
          <w:sz w:val="28"/>
          <w:szCs w:val="28"/>
        </w:rPr>
        <w:t>, например,</w:t>
      </w:r>
      <w:r w:rsidRPr="00F81A78">
        <w:rPr>
          <w:sz w:val="28"/>
          <w:szCs w:val="28"/>
        </w:rPr>
        <w:t xml:space="preserve"> </w:t>
      </w:r>
      <w:r w:rsidR="00E07CF8">
        <w:rPr>
          <w:sz w:val="28"/>
          <w:szCs w:val="28"/>
        </w:rPr>
        <w:t xml:space="preserve">при корректировке кассового чека с признаком расчета «приход» </w:t>
      </w:r>
      <w:r w:rsidRPr="00F81A78">
        <w:rPr>
          <w:sz w:val="28"/>
          <w:szCs w:val="28"/>
        </w:rPr>
        <w:t xml:space="preserve">необходимо сформировать </w:t>
      </w:r>
      <w:r w:rsidR="003C485A">
        <w:rPr>
          <w:sz w:val="28"/>
          <w:szCs w:val="28"/>
        </w:rPr>
        <w:t xml:space="preserve">идентичный некорректному </w:t>
      </w:r>
      <w:r w:rsidRPr="00F81A78">
        <w:rPr>
          <w:sz w:val="28"/>
          <w:szCs w:val="28"/>
        </w:rPr>
        <w:t>кассовый чек с признаком расчета «во</w:t>
      </w:r>
      <w:r w:rsidR="003C485A">
        <w:rPr>
          <w:sz w:val="28"/>
          <w:szCs w:val="28"/>
        </w:rPr>
        <w:t xml:space="preserve">зврат прихода», в котором отразить </w:t>
      </w:r>
      <w:r w:rsidR="00F37B57">
        <w:rPr>
          <w:sz w:val="28"/>
          <w:szCs w:val="28"/>
        </w:rPr>
        <w:t xml:space="preserve">фискальный признак </w:t>
      </w:r>
      <w:r w:rsidR="00845E09" w:rsidRPr="00F81A78">
        <w:rPr>
          <w:sz w:val="28"/>
          <w:szCs w:val="28"/>
        </w:rPr>
        <w:t xml:space="preserve">некорректно </w:t>
      </w:r>
      <w:r w:rsidR="00845E09">
        <w:rPr>
          <w:sz w:val="28"/>
          <w:szCs w:val="28"/>
        </w:rPr>
        <w:t>сформированного</w:t>
      </w:r>
      <w:r w:rsidR="00845E09" w:rsidRPr="00F81A78">
        <w:rPr>
          <w:sz w:val="28"/>
          <w:szCs w:val="28"/>
        </w:rPr>
        <w:t xml:space="preserve"> кассового чека</w:t>
      </w:r>
      <w:r w:rsidRPr="00F81A78">
        <w:rPr>
          <w:sz w:val="28"/>
          <w:szCs w:val="28"/>
        </w:rPr>
        <w:t>, а затем сформировать корректный кассовый ч</w:t>
      </w:r>
      <w:r w:rsidR="00D60626">
        <w:rPr>
          <w:sz w:val="28"/>
          <w:szCs w:val="28"/>
        </w:rPr>
        <w:t xml:space="preserve">ек с признаком расчета «приход». </w:t>
      </w:r>
      <w:r w:rsidR="003C485A">
        <w:rPr>
          <w:sz w:val="28"/>
          <w:szCs w:val="28"/>
        </w:rPr>
        <w:t xml:space="preserve">Аналогичным способом корректируется ошибочный кассовый чек с признаком расчета «расход». </w:t>
      </w:r>
      <w:r w:rsidR="00D60626">
        <w:rPr>
          <w:sz w:val="28"/>
          <w:szCs w:val="28"/>
        </w:rPr>
        <w:t xml:space="preserve">При необходимости </w:t>
      </w:r>
      <w:r w:rsidR="00BD08FD">
        <w:rPr>
          <w:sz w:val="28"/>
          <w:szCs w:val="28"/>
        </w:rPr>
        <w:t>корректировки</w:t>
      </w:r>
      <w:r w:rsidR="00D60626">
        <w:rPr>
          <w:sz w:val="28"/>
          <w:szCs w:val="28"/>
        </w:rPr>
        <w:t xml:space="preserve"> расчета, ранее произведенного без применения ККТ, при использовании форматов фискальных документов версии 1.05 формируется кассовый чек коррекции с признаком расчета «приход» или «расход» и иными реквизитами, предусмотренны</w:t>
      </w:r>
      <w:r w:rsidR="00BD08FD">
        <w:rPr>
          <w:sz w:val="28"/>
          <w:szCs w:val="28"/>
        </w:rPr>
        <w:t>ми</w:t>
      </w:r>
      <w:r w:rsidR="00D60626">
        <w:rPr>
          <w:sz w:val="28"/>
          <w:szCs w:val="28"/>
        </w:rPr>
        <w:t xml:space="preserve"> для указанной версии форматов фискальных документов.</w:t>
      </w:r>
    </w:p>
    <w:p w:rsidR="00B01112" w:rsidRDefault="005559F9" w:rsidP="00E43CEA">
      <w:pPr>
        <w:tabs>
          <w:tab w:val="left" w:pos="113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сообщается</w:t>
      </w:r>
      <w:r w:rsidR="00D60626">
        <w:rPr>
          <w:sz w:val="28"/>
          <w:szCs w:val="28"/>
        </w:rPr>
        <w:t xml:space="preserve">, что </w:t>
      </w:r>
      <w:r>
        <w:rPr>
          <w:sz w:val="28"/>
          <w:szCs w:val="28"/>
        </w:rPr>
        <w:t>каждая корректируемая сумма расчет</w:t>
      </w:r>
      <w:r w:rsidR="00281F9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281F94">
        <w:rPr>
          <w:sz w:val="28"/>
          <w:szCs w:val="28"/>
        </w:rPr>
        <w:t xml:space="preserve">должна </w:t>
      </w:r>
      <w:r>
        <w:rPr>
          <w:sz w:val="28"/>
          <w:szCs w:val="28"/>
        </w:rPr>
        <w:t>отражаться в кассовом чеке коррекции отдельной строкой.</w:t>
      </w:r>
      <w:r w:rsidR="00281F94">
        <w:rPr>
          <w:sz w:val="28"/>
          <w:szCs w:val="28"/>
        </w:rPr>
        <w:t xml:space="preserve"> Указание в </w:t>
      </w:r>
      <w:r w:rsidR="00281F94">
        <w:rPr>
          <w:sz w:val="28"/>
          <w:szCs w:val="28"/>
        </w:rPr>
        <w:lastRenderedPageBreak/>
        <w:t xml:space="preserve">кассовом чеке коррекции только общей суммы корректируемых расчетов </w:t>
      </w:r>
      <w:r w:rsidR="006A3FFF">
        <w:rPr>
          <w:sz w:val="28"/>
          <w:szCs w:val="28"/>
        </w:rPr>
        <w:t>при корректировк</w:t>
      </w:r>
      <w:r w:rsidR="007D2C5C">
        <w:rPr>
          <w:sz w:val="28"/>
          <w:szCs w:val="28"/>
        </w:rPr>
        <w:t>е,</w:t>
      </w:r>
      <w:r w:rsidR="006A3FFF">
        <w:rPr>
          <w:sz w:val="28"/>
          <w:szCs w:val="28"/>
        </w:rPr>
        <w:t xml:space="preserve"> </w:t>
      </w:r>
      <w:r w:rsidR="00E43CEA">
        <w:rPr>
          <w:sz w:val="28"/>
          <w:szCs w:val="28"/>
        </w:rPr>
        <w:t xml:space="preserve">как </w:t>
      </w:r>
      <w:r w:rsidR="006A3FFF">
        <w:rPr>
          <w:sz w:val="28"/>
          <w:szCs w:val="28"/>
        </w:rPr>
        <w:t>ранее осуществленных с применением ККТ расчетов с ошибкой</w:t>
      </w:r>
      <w:r w:rsidR="00E43CEA">
        <w:rPr>
          <w:sz w:val="28"/>
          <w:szCs w:val="28"/>
        </w:rPr>
        <w:t>, так и при корректировке расчет</w:t>
      </w:r>
      <w:r w:rsidR="00BF777B">
        <w:rPr>
          <w:sz w:val="28"/>
          <w:szCs w:val="28"/>
        </w:rPr>
        <w:t>ов</w:t>
      </w:r>
      <w:r w:rsidR="00E43CEA">
        <w:rPr>
          <w:sz w:val="28"/>
          <w:szCs w:val="28"/>
        </w:rPr>
        <w:t>, ранее произведенн</w:t>
      </w:r>
      <w:r w:rsidR="00BF777B">
        <w:rPr>
          <w:sz w:val="28"/>
          <w:szCs w:val="28"/>
        </w:rPr>
        <w:t>ых</w:t>
      </w:r>
      <w:r w:rsidR="00E43CEA">
        <w:rPr>
          <w:sz w:val="28"/>
          <w:szCs w:val="28"/>
        </w:rPr>
        <w:t xml:space="preserve"> без применения ККТ, </w:t>
      </w:r>
      <w:r w:rsidR="006A3FFF">
        <w:rPr>
          <w:sz w:val="28"/>
          <w:szCs w:val="28"/>
        </w:rPr>
        <w:t>не может являться достаточным для установления события административного правонарушения (поскольку невозможно идентифицировать из такой суммы конкретный расчет)</w:t>
      </w:r>
      <w:r w:rsidR="00B01112">
        <w:rPr>
          <w:sz w:val="28"/>
          <w:szCs w:val="28"/>
        </w:rPr>
        <w:t>.</w:t>
      </w:r>
    </w:p>
    <w:p w:rsidR="002B5AF5" w:rsidRDefault="00B01112" w:rsidP="002B5AF5">
      <w:pPr>
        <w:tabs>
          <w:tab w:val="left" w:pos="113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изложенное, </w:t>
      </w:r>
      <w:r w:rsidR="002B5AF5">
        <w:rPr>
          <w:sz w:val="28"/>
          <w:szCs w:val="28"/>
        </w:rPr>
        <w:t xml:space="preserve">в случае корректировки только общей суммой расчетов </w:t>
      </w:r>
      <w:r w:rsidR="007D2C5C">
        <w:rPr>
          <w:sz w:val="28"/>
          <w:szCs w:val="28"/>
        </w:rPr>
        <w:t xml:space="preserve">при использовании форматов фискальных документов версий 1.05 и ниже в целях освобождения от административной ответственности на основании примечания к статье 14.5 КоАП РФ пользователю необходимо </w:t>
      </w:r>
      <w:r w:rsidR="002B5AF5">
        <w:rPr>
          <w:sz w:val="28"/>
          <w:szCs w:val="28"/>
        </w:rPr>
        <w:t>в обязательном порядке направить</w:t>
      </w:r>
      <w:r w:rsidR="007D2C5C">
        <w:rPr>
          <w:sz w:val="28"/>
          <w:szCs w:val="28"/>
        </w:rPr>
        <w:t xml:space="preserve"> в налоговые органы в дополнение к сформированным кассовым чекам коррекции и (или) новым кассовым чекам, сформированным для исправления некорректных </w:t>
      </w:r>
      <w:r w:rsidR="008C2C32">
        <w:rPr>
          <w:sz w:val="28"/>
          <w:szCs w:val="28"/>
        </w:rPr>
        <w:t>кассовых чеков</w:t>
      </w:r>
      <w:r w:rsidR="007D2C5C">
        <w:rPr>
          <w:sz w:val="28"/>
          <w:szCs w:val="28"/>
        </w:rPr>
        <w:t>, сведения и документы</w:t>
      </w:r>
      <w:r w:rsidR="008C2C32">
        <w:rPr>
          <w:sz w:val="28"/>
          <w:szCs w:val="28"/>
        </w:rPr>
        <w:t xml:space="preserve"> достаточные для установления каждого события административного правонарушения</w:t>
      </w:r>
      <w:r w:rsidR="002B5AF5">
        <w:rPr>
          <w:sz w:val="28"/>
          <w:szCs w:val="28"/>
        </w:rPr>
        <w:t>, т.е. идентификации каждого конкретного расчета.</w:t>
      </w:r>
    </w:p>
    <w:p w:rsidR="002B5AF5" w:rsidRDefault="002B5AF5" w:rsidP="002B5AF5">
      <w:pPr>
        <w:tabs>
          <w:tab w:val="left" w:pos="113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вышеуказанном случае при использовании форматов фискальных документов версии 1.1 в дополнение к кассовым чекам коррекции направление таких сведений и документов, достаточных для установления каждого события административного правонарушения, требуется для однозначного применения налоговым органом положений примечания к статье 14.5 КоАП РФ в части освобождения пользователя от административной ответственности.</w:t>
      </w:r>
    </w:p>
    <w:p w:rsidR="006127AA" w:rsidRDefault="006127AA" w:rsidP="006127AA">
      <w:pPr>
        <w:tabs>
          <w:tab w:val="left" w:pos="113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Доведите настоящее письмо до нижестоящих налоговых органов, а также до налогоплательщиков.</w:t>
      </w:r>
    </w:p>
    <w:p w:rsidR="006A3FFF" w:rsidRDefault="006A3FFF" w:rsidP="006127AA">
      <w:pPr>
        <w:tabs>
          <w:tab w:val="left" w:pos="1139"/>
        </w:tabs>
        <w:ind w:firstLine="709"/>
        <w:contextualSpacing/>
        <w:jc w:val="both"/>
        <w:rPr>
          <w:sz w:val="28"/>
          <w:szCs w:val="28"/>
        </w:rPr>
      </w:pPr>
    </w:p>
    <w:p w:rsidR="006A3FFF" w:rsidRDefault="00765973" w:rsidP="00765973">
      <w:pPr>
        <w:tabs>
          <w:tab w:val="left" w:pos="113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в электронном виде на 27 л.</w:t>
      </w:r>
    </w:p>
    <w:p w:rsidR="006127AA" w:rsidRDefault="006127AA" w:rsidP="006127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127AA" w:rsidRPr="00CF0B19" w:rsidRDefault="006127AA" w:rsidP="006127AA">
      <w:pPr>
        <w:jc w:val="both"/>
        <w:rPr>
          <w:sz w:val="28"/>
          <w:szCs w:val="28"/>
        </w:rPr>
      </w:pPr>
      <w:r w:rsidRPr="00CF0B19">
        <w:rPr>
          <w:sz w:val="28"/>
          <w:szCs w:val="28"/>
        </w:rPr>
        <w:t>Действительный государственный советник</w:t>
      </w:r>
    </w:p>
    <w:p w:rsidR="006127AA" w:rsidRPr="00CF0B19" w:rsidRDefault="006127AA" w:rsidP="006127AA">
      <w:pPr>
        <w:jc w:val="both"/>
        <w:rPr>
          <w:sz w:val="28"/>
          <w:szCs w:val="28"/>
        </w:rPr>
      </w:pPr>
      <w:r w:rsidRPr="00CF0B19">
        <w:rPr>
          <w:sz w:val="28"/>
          <w:szCs w:val="28"/>
        </w:rPr>
        <w:t xml:space="preserve">Российской Федерации 2 класса                                                        </w:t>
      </w:r>
      <w:r>
        <w:rPr>
          <w:sz w:val="28"/>
          <w:szCs w:val="28"/>
        </w:rPr>
        <w:t xml:space="preserve">    </w:t>
      </w:r>
      <w:r w:rsidRPr="00CF0B19">
        <w:rPr>
          <w:sz w:val="28"/>
          <w:szCs w:val="28"/>
        </w:rPr>
        <w:t xml:space="preserve">          Д.В. Егоров</w:t>
      </w:r>
    </w:p>
    <w:p w:rsidR="006127AA" w:rsidRDefault="006127AA" w:rsidP="006127AA">
      <w:pPr>
        <w:pStyle w:val="ab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6127AA" w:rsidRDefault="006127AA" w:rsidP="006127AA">
      <w:pPr>
        <w:pStyle w:val="ab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3928F1" w:rsidRDefault="003928F1" w:rsidP="006127AA">
      <w:pPr>
        <w:pStyle w:val="ab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D04C80" w:rsidRDefault="00D04C80" w:rsidP="006127AA">
      <w:pPr>
        <w:pStyle w:val="ab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D04C80" w:rsidRDefault="00D04C80" w:rsidP="006127AA">
      <w:pPr>
        <w:pStyle w:val="ab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D04C80" w:rsidRDefault="00D04C80" w:rsidP="006127AA">
      <w:pPr>
        <w:pStyle w:val="ab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D04C80" w:rsidRDefault="00D04C80" w:rsidP="006127AA">
      <w:pPr>
        <w:pStyle w:val="ab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D04C80" w:rsidRDefault="00D04C80" w:rsidP="006127AA">
      <w:pPr>
        <w:pStyle w:val="ab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3C485A" w:rsidRDefault="003C485A" w:rsidP="006127AA">
      <w:pPr>
        <w:pStyle w:val="ab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D04C80" w:rsidRDefault="00D04C80" w:rsidP="006127AA">
      <w:pPr>
        <w:pStyle w:val="ab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D04C80" w:rsidRDefault="00D04C80" w:rsidP="006127AA">
      <w:pPr>
        <w:pStyle w:val="ab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D04C80" w:rsidRDefault="00D04C80" w:rsidP="006127AA">
      <w:pPr>
        <w:pStyle w:val="ab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D04C80" w:rsidRDefault="00D04C80" w:rsidP="006127AA">
      <w:pPr>
        <w:pStyle w:val="ab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D04C80" w:rsidRDefault="00D04C80" w:rsidP="006127AA">
      <w:pPr>
        <w:pStyle w:val="ab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D04C80" w:rsidRDefault="00D04C80" w:rsidP="006127AA">
      <w:pPr>
        <w:pStyle w:val="ab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D04C80" w:rsidRDefault="00D04C80" w:rsidP="006127AA">
      <w:pPr>
        <w:pStyle w:val="ab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E43CEA" w:rsidRDefault="00E43CEA" w:rsidP="006127AA">
      <w:pPr>
        <w:pStyle w:val="ab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E43CEA" w:rsidRDefault="00E43CEA" w:rsidP="006127AA">
      <w:pPr>
        <w:pStyle w:val="ab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D04C80" w:rsidRDefault="00D04C80" w:rsidP="006127AA">
      <w:pPr>
        <w:pStyle w:val="ab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D04C80" w:rsidRDefault="00D04C80" w:rsidP="006127AA">
      <w:pPr>
        <w:pStyle w:val="ab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3928F1" w:rsidRDefault="003928F1" w:rsidP="006127AA">
      <w:pPr>
        <w:pStyle w:val="ab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6127AA" w:rsidRPr="00A30BE8" w:rsidRDefault="006127AA" w:rsidP="006127AA">
      <w:pPr>
        <w:pStyle w:val="ab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A30BE8">
        <w:rPr>
          <w:rFonts w:ascii="Times New Roman" w:hAnsi="Times New Roman"/>
          <w:sz w:val="20"/>
          <w:szCs w:val="20"/>
        </w:rPr>
        <w:t>Батарин Алексей Алексеевич</w:t>
      </w:r>
    </w:p>
    <w:p w:rsidR="006127AA" w:rsidRPr="00F81A78" w:rsidRDefault="006127AA" w:rsidP="00F81A78">
      <w:pPr>
        <w:pStyle w:val="ab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A30BE8">
        <w:rPr>
          <w:rFonts w:ascii="Times New Roman" w:hAnsi="Times New Roman"/>
          <w:sz w:val="20"/>
          <w:szCs w:val="20"/>
        </w:rPr>
        <w:t>8 (495) 913-</w:t>
      </w:r>
      <w:r>
        <w:rPr>
          <w:rFonts w:ascii="Times New Roman" w:hAnsi="Times New Roman"/>
          <w:sz w:val="20"/>
          <w:szCs w:val="20"/>
        </w:rPr>
        <w:t>01-29</w:t>
      </w:r>
    </w:p>
    <w:sectPr w:rsidR="006127AA" w:rsidRPr="00F81A78" w:rsidSect="006127AA">
      <w:headerReference w:type="even" r:id="rId11"/>
      <w:headerReference w:type="default" r:id="rId12"/>
      <w:footerReference w:type="default" r:id="rId13"/>
      <w:pgSz w:w="11906" w:h="16838" w:code="9"/>
      <w:pgMar w:top="357" w:right="567" w:bottom="1134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CF2" w:rsidRDefault="00291CF2">
      <w:r>
        <w:separator/>
      </w:r>
    </w:p>
  </w:endnote>
  <w:endnote w:type="continuationSeparator" w:id="0">
    <w:p w:rsidR="00291CF2" w:rsidRDefault="0029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C59" w:rsidRDefault="00525C59" w:rsidP="00525C59">
    <w:pPr>
      <w:pStyle w:val="a9"/>
      <w:rPr>
        <w:rFonts w:ascii="Garamond" w:hAnsi="Garamond"/>
        <w:b/>
        <w:i/>
        <w:color w:val="808080"/>
        <w:sz w:val="16"/>
      </w:rPr>
    </w:pPr>
    <w:r>
      <w:rPr>
        <w:rFonts w:ascii="Garamond" w:hAnsi="Garamond"/>
        <w:b/>
        <w:i/>
        <w:color w:val="808080"/>
        <w:sz w:val="16"/>
      </w:rPr>
      <w:fldChar w:fldCharType="begin"/>
    </w:r>
    <w:r>
      <w:rPr>
        <w:rFonts w:ascii="Garamond" w:hAnsi="Garamond"/>
        <w:b/>
        <w:i/>
        <w:color w:val="808080"/>
        <w:sz w:val="16"/>
      </w:rPr>
      <w:instrText xml:space="preserve">  \* MERGEFORMAT </w:instrText>
    </w:r>
    <w:r>
      <w:rPr>
        <w:rFonts w:ascii="Garamond" w:hAnsi="Garamond"/>
        <w:b/>
        <w:i/>
        <w:color w:val="808080"/>
        <w:sz w:val="16"/>
      </w:rPr>
      <w:fldChar w:fldCharType="end"/>
    </w:r>
  </w:p>
  <w:p w:rsidR="001B602B" w:rsidRPr="00525C59" w:rsidRDefault="00525C59" w:rsidP="00525C59">
    <w:pPr>
      <w:pStyle w:val="a9"/>
      <w:rPr>
        <w:rFonts w:ascii="Garamond" w:hAnsi="Garamond"/>
        <w:b/>
        <w:i/>
        <w:color w:val="808080"/>
        <w:sz w:val="16"/>
      </w:rPr>
    </w:pPr>
    <w:r>
      <w:rPr>
        <w:rFonts w:ascii="Garamond" w:hAnsi="Garamond"/>
        <w:b/>
        <w:i/>
        <w:color w:val="808080"/>
        <w:sz w:val="16"/>
      </w:rPr>
      <w:fldChar w:fldCharType="begin"/>
    </w:r>
    <w:r>
      <w:rPr>
        <w:rFonts w:ascii="Garamond" w:hAnsi="Garamond"/>
        <w:b/>
        <w:i/>
        <w:color w:val="808080"/>
        <w:sz w:val="16"/>
      </w:rPr>
      <w:instrText xml:space="preserve">  \* MERGEFORMAT </w:instrText>
    </w:r>
    <w:r>
      <w:rPr>
        <w:rFonts w:ascii="Garamond" w:hAnsi="Garamond"/>
        <w:b/>
        <w:i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CF2" w:rsidRDefault="00291CF2">
      <w:r>
        <w:separator/>
      </w:r>
    </w:p>
  </w:footnote>
  <w:footnote w:type="continuationSeparator" w:id="0">
    <w:p w:rsidR="00291CF2" w:rsidRDefault="00291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E2F" w:rsidRDefault="00F57E2F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F57E2F" w:rsidRDefault="00F57E2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7AA" w:rsidRDefault="006127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94E82">
      <w:rPr>
        <w:noProof/>
      </w:rPr>
      <w:t>3</w:t>
    </w:r>
    <w:r>
      <w:fldChar w:fldCharType="end"/>
    </w:r>
  </w:p>
  <w:p w:rsidR="006127AA" w:rsidRDefault="006127A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8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1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6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8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9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0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1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4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29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2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6"/>
  </w:num>
  <w:num w:numId="2">
    <w:abstractNumId w:val="34"/>
  </w:num>
  <w:num w:numId="3">
    <w:abstractNumId w:val="34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0"/>
  </w:num>
  <w:num w:numId="5">
    <w:abstractNumId w:val="20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0"/>
  </w:num>
  <w:num w:numId="7">
    <w:abstractNumId w:val="10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1"/>
  </w:num>
  <w:num w:numId="11">
    <w:abstractNumId w:val="27"/>
  </w:num>
  <w:num w:numId="12">
    <w:abstractNumId w:val="14"/>
  </w:num>
  <w:num w:numId="13">
    <w:abstractNumId w:val="4"/>
  </w:num>
  <w:num w:numId="14">
    <w:abstractNumId w:val="33"/>
  </w:num>
  <w:num w:numId="15">
    <w:abstractNumId w:val="33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1"/>
  </w:num>
  <w:num w:numId="17">
    <w:abstractNumId w:val="31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1"/>
  </w:num>
  <w:num w:numId="19">
    <w:abstractNumId w:val="19"/>
  </w:num>
  <w:num w:numId="20">
    <w:abstractNumId w:val="23"/>
  </w:num>
  <w:num w:numId="21">
    <w:abstractNumId w:val="24"/>
  </w:num>
  <w:num w:numId="22">
    <w:abstractNumId w:val="5"/>
  </w:num>
  <w:num w:numId="23">
    <w:abstractNumId w:val="16"/>
  </w:num>
  <w:num w:numId="24">
    <w:abstractNumId w:val="29"/>
  </w:num>
  <w:num w:numId="25">
    <w:abstractNumId w:val="32"/>
  </w:num>
  <w:num w:numId="26">
    <w:abstractNumId w:val="13"/>
  </w:num>
  <w:num w:numId="27">
    <w:abstractNumId w:val="9"/>
  </w:num>
  <w:num w:numId="28">
    <w:abstractNumId w:val="25"/>
  </w:num>
  <w:num w:numId="29">
    <w:abstractNumId w:val="3"/>
  </w:num>
  <w:num w:numId="30">
    <w:abstractNumId w:val="17"/>
  </w:num>
  <w:num w:numId="31">
    <w:abstractNumId w:val="28"/>
  </w:num>
  <w:num w:numId="32">
    <w:abstractNumId w:val="15"/>
  </w:num>
  <w:num w:numId="33">
    <w:abstractNumId w:val="18"/>
  </w:num>
  <w:num w:numId="34">
    <w:abstractNumId w:val="30"/>
  </w:num>
  <w:num w:numId="35">
    <w:abstractNumId w:val="0"/>
  </w:num>
  <w:num w:numId="36">
    <w:abstractNumId w:val="7"/>
  </w:num>
  <w:num w:numId="37">
    <w:abstractNumId w:val="12"/>
  </w:num>
  <w:num w:numId="38">
    <w:abstractNumId w:val="8"/>
  </w:num>
  <w:num w:numId="39">
    <w:abstractNumId w:val="2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6F"/>
    <w:rsid w:val="00026A10"/>
    <w:rsid w:val="00027A15"/>
    <w:rsid w:val="0003240F"/>
    <w:rsid w:val="000446BC"/>
    <w:rsid w:val="00082F20"/>
    <w:rsid w:val="00094E82"/>
    <w:rsid w:val="000A75E7"/>
    <w:rsid w:val="000D19E1"/>
    <w:rsid w:val="00107F11"/>
    <w:rsid w:val="0011664D"/>
    <w:rsid w:val="00147DEA"/>
    <w:rsid w:val="00172A87"/>
    <w:rsid w:val="00177760"/>
    <w:rsid w:val="001B602B"/>
    <w:rsid w:val="001B6341"/>
    <w:rsid w:val="00225D29"/>
    <w:rsid w:val="00250D80"/>
    <w:rsid w:val="00271B5F"/>
    <w:rsid w:val="00281F94"/>
    <w:rsid w:val="00284A68"/>
    <w:rsid w:val="00284EE0"/>
    <w:rsid w:val="00291CF2"/>
    <w:rsid w:val="002B5AF5"/>
    <w:rsid w:val="002C29D9"/>
    <w:rsid w:val="002F57FF"/>
    <w:rsid w:val="00316606"/>
    <w:rsid w:val="0031701E"/>
    <w:rsid w:val="003404FF"/>
    <w:rsid w:val="003928F1"/>
    <w:rsid w:val="003A4A26"/>
    <w:rsid w:val="003C10FF"/>
    <w:rsid w:val="003C485A"/>
    <w:rsid w:val="0042480D"/>
    <w:rsid w:val="00430B03"/>
    <w:rsid w:val="004653C9"/>
    <w:rsid w:val="00497501"/>
    <w:rsid w:val="004A0CC5"/>
    <w:rsid w:val="004A22D1"/>
    <w:rsid w:val="00500ED3"/>
    <w:rsid w:val="0051206F"/>
    <w:rsid w:val="00525C59"/>
    <w:rsid w:val="00547B87"/>
    <w:rsid w:val="005559F9"/>
    <w:rsid w:val="00571B04"/>
    <w:rsid w:val="006127AA"/>
    <w:rsid w:val="00631901"/>
    <w:rsid w:val="0063339D"/>
    <w:rsid w:val="006529AC"/>
    <w:rsid w:val="00697100"/>
    <w:rsid w:val="006A0914"/>
    <w:rsid w:val="006A3FFF"/>
    <w:rsid w:val="006A6CE0"/>
    <w:rsid w:val="006D344D"/>
    <w:rsid w:val="00703538"/>
    <w:rsid w:val="007259C9"/>
    <w:rsid w:val="00730EBD"/>
    <w:rsid w:val="00765973"/>
    <w:rsid w:val="0076678B"/>
    <w:rsid w:val="00777014"/>
    <w:rsid w:val="0078464D"/>
    <w:rsid w:val="00787728"/>
    <w:rsid w:val="007C0017"/>
    <w:rsid w:val="007D2C5C"/>
    <w:rsid w:val="007F523C"/>
    <w:rsid w:val="00845E09"/>
    <w:rsid w:val="00872204"/>
    <w:rsid w:val="008C2C32"/>
    <w:rsid w:val="0098537D"/>
    <w:rsid w:val="00990301"/>
    <w:rsid w:val="009C282C"/>
    <w:rsid w:val="009E11BA"/>
    <w:rsid w:val="00A203F8"/>
    <w:rsid w:val="00A23FE8"/>
    <w:rsid w:val="00A97444"/>
    <w:rsid w:val="00AE57B8"/>
    <w:rsid w:val="00AF0B17"/>
    <w:rsid w:val="00B01112"/>
    <w:rsid w:val="00B53B3C"/>
    <w:rsid w:val="00B675DA"/>
    <w:rsid w:val="00BC1404"/>
    <w:rsid w:val="00BD08FD"/>
    <w:rsid w:val="00BF777B"/>
    <w:rsid w:val="00C01221"/>
    <w:rsid w:val="00C1600E"/>
    <w:rsid w:val="00C20BAA"/>
    <w:rsid w:val="00C45DD1"/>
    <w:rsid w:val="00C60687"/>
    <w:rsid w:val="00C82849"/>
    <w:rsid w:val="00CA05A4"/>
    <w:rsid w:val="00CC3D45"/>
    <w:rsid w:val="00D04C80"/>
    <w:rsid w:val="00D60626"/>
    <w:rsid w:val="00D761B3"/>
    <w:rsid w:val="00D81131"/>
    <w:rsid w:val="00D81D7F"/>
    <w:rsid w:val="00DA1198"/>
    <w:rsid w:val="00DB7931"/>
    <w:rsid w:val="00DC2A6F"/>
    <w:rsid w:val="00E07CF8"/>
    <w:rsid w:val="00E42CE6"/>
    <w:rsid w:val="00E43CEA"/>
    <w:rsid w:val="00E5310A"/>
    <w:rsid w:val="00E742B5"/>
    <w:rsid w:val="00ED6532"/>
    <w:rsid w:val="00F1206D"/>
    <w:rsid w:val="00F12C4E"/>
    <w:rsid w:val="00F26A0A"/>
    <w:rsid w:val="00F37B57"/>
    <w:rsid w:val="00F5128F"/>
    <w:rsid w:val="00F57E2F"/>
    <w:rsid w:val="00F63D39"/>
    <w:rsid w:val="00F81A78"/>
    <w:rsid w:val="00FC54D0"/>
    <w:rsid w:val="00FC5B9B"/>
    <w:rsid w:val="00FD226E"/>
    <w:rsid w:val="00FE066C"/>
    <w:rsid w:val="00FE22C8"/>
    <w:rsid w:val="00FF4263"/>
    <w:rsid w:val="00FF4CE4"/>
    <w:rsid w:val="00FF60A5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a9">
    <w:name w:val="footer"/>
    <w:basedOn w:val="a"/>
    <w:rsid w:val="001B602B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225D29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6127AA"/>
    <w:rPr>
      <w:sz w:val="28"/>
      <w:szCs w:val="24"/>
    </w:rPr>
  </w:style>
  <w:style w:type="paragraph" w:customStyle="1" w:styleId="ConsPlusNormal">
    <w:name w:val="ConsPlusNormal"/>
    <w:rsid w:val="006127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6127AA"/>
    <w:pPr>
      <w:spacing w:after="160" w:line="259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a9">
    <w:name w:val="footer"/>
    <w:basedOn w:val="a"/>
    <w:rsid w:val="001B602B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225D29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6127AA"/>
    <w:rPr>
      <w:sz w:val="28"/>
      <w:szCs w:val="24"/>
    </w:rPr>
  </w:style>
  <w:style w:type="paragraph" w:customStyle="1" w:styleId="ConsPlusNormal">
    <w:name w:val="ConsPlusNormal"/>
    <w:rsid w:val="006127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6127AA"/>
    <w:pPr>
      <w:spacing w:after="160" w:line="259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719A0A7247A7B11C105F900AB901624E08A3E68793C9710006FC93925C3A9EAD42FEBD78BCeDh8K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9719A0A7247A7B11C105F900AB901624E08A3E68793C9710006FC93925C3A9EAD42FEBD78BDeDh6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9719A0A7247A7B11C105F900AB901624E08A3E68793C9710006FC93925C3A9EAD42FEBD78BDeDh2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7383</CharactersWithSpaces>
  <SharedDoc>false</SharedDoc>
  <HLinks>
    <vt:vector size="18" baseType="variant">
      <vt:variant>
        <vt:i4>2949178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consultantplus://offline/ref=A9719A0A7247A7B11C105F900AB901624E08A3E68793C9710006FC93925C3A9EAD42FEBD78BDeDh6K</vt:lpwstr>
      </vt:variant>
      <vt:variant>
        <vt:lpwstr/>
      </vt:variant>
      <vt:variant>
        <vt:i4>2949182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consultantplus://offline/ref=A9719A0A7247A7B11C105F900AB901624E08A3E68793C9710006FC93925C3A9EAD42FEBD78BDeDh2K</vt:lpwstr>
      </vt:variant>
      <vt:variant>
        <vt:lpwstr/>
      </vt:variant>
      <vt:variant>
        <vt:i4>2949171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consultantplus://offline/ref=A9719A0A7247A7B11C105F900AB901624E08A3E68793C9710006FC93925C3A9EAD42FEBD78BCeDh8K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07.01.1. Бланки документов</dc:subject>
  <dc:creator>CN=Дмитрий Селеверстов/OU=ЦА/O=МНС</dc:creator>
  <cp:keywords/>
  <dc:description/>
  <cp:lastModifiedBy>6400-00-889 Сметанников Сергей Станеславович</cp:lastModifiedBy>
  <cp:revision>3</cp:revision>
  <cp:lastPrinted>2018-07-20T01:46:00Z</cp:lastPrinted>
  <dcterms:created xsi:type="dcterms:W3CDTF">2018-08-22T08:24:00Z</dcterms:created>
  <dcterms:modified xsi:type="dcterms:W3CDTF">2018-08-31T06:51:00Z</dcterms:modified>
</cp:coreProperties>
</file>